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C88" w:rsidRDefault="00AC0668">
      <w:r>
        <w:tab/>
      </w:r>
      <w:r>
        <w:tab/>
      </w:r>
      <w:r>
        <w:tab/>
      </w:r>
      <w:r>
        <w:tab/>
      </w:r>
      <w:r>
        <w:tab/>
      </w:r>
      <w:r>
        <w:tab/>
      </w:r>
      <w:r>
        <w:tab/>
      </w:r>
      <w:r>
        <w:tab/>
      </w:r>
      <w:r>
        <w:tab/>
      </w:r>
      <w:r>
        <w:tab/>
      </w:r>
    </w:p>
    <w:p w:rsidR="00AC0668" w:rsidRDefault="00AC0668" w:rsidP="00AC0668">
      <w:pPr>
        <w:pStyle w:val="DocumentLabel"/>
        <w:rPr>
          <w:color w:val="FF0000"/>
        </w:rPr>
      </w:pPr>
      <w:r>
        <w:rPr>
          <w:color w:val="FF0000"/>
        </w:rPr>
        <w:t>Memo</w:t>
      </w:r>
    </w:p>
    <w:p w:rsidR="00AC0668" w:rsidRDefault="00AC0668" w:rsidP="00AC0668">
      <w:pPr>
        <w:pStyle w:val="MessageHeaderFirst"/>
        <w:rPr>
          <w:rStyle w:val="MessageHeaderLabel"/>
          <w:sz w:val="24"/>
        </w:rPr>
      </w:pPr>
      <w:r>
        <w:rPr>
          <w:rStyle w:val="MessageHeaderLabel"/>
          <w:spacing w:val="-25"/>
          <w:sz w:val="24"/>
        </w:rPr>
        <w:t>T</w:t>
      </w:r>
      <w:r>
        <w:rPr>
          <w:rStyle w:val="MessageHeaderLabel"/>
          <w:sz w:val="24"/>
        </w:rPr>
        <w:t>o:   Common Council Member</w:t>
      </w:r>
      <w:r w:rsidR="00AB36FA">
        <w:rPr>
          <w:rStyle w:val="MessageHeaderLabel"/>
          <w:sz w:val="24"/>
        </w:rPr>
        <w:t>s</w:t>
      </w:r>
    </w:p>
    <w:p w:rsidR="00AC0668" w:rsidRPr="003153CA" w:rsidRDefault="00AC0668" w:rsidP="00AC0668">
      <w:pPr>
        <w:pStyle w:val="MessageHeaderFirst"/>
        <w:rPr>
          <w:rStyle w:val="MessageHeaderLabel"/>
          <w:rFonts w:cs="Arial"/>
          <w:sz w:val="24"/>
        </w:rPr>
      </w:pPr>
      <w:r>
        <w:rPr>
          <w:rStyle w:val="MessageHeaderLabel"/>
          <w:sz w:val="24"/>
        </w:rPr>
        <w:t xml:space="preserve">From:  </w:t>
      </w:r>
      <w:r w:rsidRPr="00105362">
        <w:rPr>
          <w:rStyle w:val="MessageHeaderLabel"/>
          <w:rFonts w:cs="Arial"/>
          <w:sz w:val="24"/>
        </w:rPr>
        <w:t xml:space="preserve">Doug </w:t>
      </w:r>
      <w:proofErr w:type="spellStart"/>
      <w:r w:rsidRPr="00105362">
        <w:rPr>
          <w:rStyle w:val="MessageHeaderLabel"/>
          <w:rFonts w:cs="Arial"/>
          <w:sz w:val="24"/>
        </w:rPr>
        <w:t>Teunissen</w:t>
      </w:r>
      <w:proofErr w:type="spellEnd"/>
    </w:p>
    <w:p w:rsidR="00AC0668" w:rsidRPr="00AC0668" w:rsidRDefault="00AC0668" w:rsidP="00AC0668">
      <w:pPr>
        <w:pStyle w:val="MessageHeaderFirst"/>
        <w:rPr>
          <w:rFonts w:ascii="Arial Black" w:hAnsi="Arial Black"/>
          <w:sz w:val="24"/>
        </w:rPr>
      </w:pPr>
      <w:r w:rsidRPr="00AC0668">
        <w:rPr>
          <w:rStyle w:val="MessageHeaderLabel"/>
          <w:sz w:val="24"/>
        </w:rPr>
        <w:t>Date:</w:t>
      </w:r>
      <w:r w:rsidRPr="00AC0668">
        <w:rPr>
          <w:rFonts w:ascii="Arial Black" w:hAnsi="Arial Black"/>
          <w:sz w:val="24"/>
        </w:rPr>
        <w:tab/>
        <w:t xml:space="preserve"> 10/8/11</w:t>
      </w:r>
    </w:p>
    <w:p w:rsidR="00AC0668" w:rsidRDefault="00AC0668" w:rsidP="00AC0668">
      <w:pPr>
        <w:pStyle w:val="MessageHeaderLast"/>
        <w:rPr>
          <w:rStyle w:val="MessageHeaderLabel"/>
          <w:rFonts w:cs="Arial"/>
          <w:sz w:val="24"/>
        </w:rPr>
      </w:pPr>
      <w:r>
        <w:rPr>
          <w:rStyle w:val="MessageHeaderLabel"/>
          <w:sz w:val="24"/>
        </w:rPr>
        <w:t xml:space="preserve">Re:  </w:t>
      </w:r>
      <w:r w:rsidR="00AB7360">
        <w:rPr>
          <w:rStyle w:val="MessageHeaderLabel"/>
          <w:rFonts w:cs="Arial"/>
          <w:sz w:val="24"/>
        </w:rPr>
        <w:t>2012</w:t>
      </w:r>
      <w:r>
        <w:rPr>
          <w:rStyle w:val="MessageHeaderLabel"/>
          <w:rFonts w:cs="Arial"/>
          <w:sz w:val="24"/>
        </w:rPr>
        <w:t xml:space="preserve"> Budge</w:t>
      </w:r>
      <w:r w:rsidR="00AB36FA">
        <w:rPr>
          <w:rStyle w:val="MessageHeaderLabel"/>
          <w:rFonts w:cs="Arial"/>
          <w:sz w:val="24"/>
        </w:rPr>
        <w:t>t</w:t>
      </w:r>
      <w:r>
        <w:rPr>
          <w:rStyle w:val="MessageHeaderLabel"/>
          <w:rFonts w:cs="Arial"/>
          <w:sz w:val="24"/>
        </w:rPr>
        <w:t xml:space="preserve"> Preparation</w:t>
      </w:r>
    </w:p>
    <w:p w:rsidR="000F6115" w:rsidRPr="00896860" w:rsidRDefault="000F6115" w:rsidP="002300A4">
      <w:pPr>
        <w:pStyle w:val="BodyText"/>
        <w:ind w:firstLine="720"/>
      </w:pPr>
      <w:r w:rsidRPr="00896860">
        <w:t>Once again it is time</w:t>
      </w:r>
      <w:r w:rsidR="00252340" w:rsidRPr="00896860">
        <w:t xml:space="preserve"> for the Village of Oostburg</w:t>
      </w:r>
      <w:r w:rsidRPr="00896860">
        <w:t xml:space="preserve"> to begin the budgeting process for the 2012 Fiscal Year.  In preparation for this I have prepared some visual aids for you to consider as you do this.  </w:t>
      </w:r>
      <w:r w:rsidR="00AB3E57" w:rsidRPr="00896860">
        <w:t xml:space="preserve">This will </w:t>
      </w:r>
      <w:r w:rsidR="008849EE" w:rsidRPr="00896860">
        <w:t xml:space="preserve">hopefully </w:t>
      </w:r>
      <w:r w:rsidR="00AB3E57" w:rsidRPr="00896860">
        <w:t xml:space="preserve">help you navigate the current 2011 budget document and provide you with some thoughts </w:t>
      </w:r>
      <w:r w:rsidR="008849EE" w:rsidRPr="00896860">
        <w:t>to consider for the upcoming year</w:t>
      </w:r>
      <w:r w:rsidR="00AB3E57" w:rsidRPr="00896860">
        <w:t xml:space="preserve">.  The scope of this document will include an analysis of the current incomes, expenses and </w:t>
      </w:r>
      <w:r w:rsidR="008849EE" w:rsidRPr="00896860">
        <w:t xml:space="preserve">the </w:t>
      </w:r>
      <w:r w:rsidR="00AB3E57" w:rsidRPr="00896860">
        <w:t>tax base of our community.  I also included some figures showing trends in our community over the last two decade</w:t>
      </w:r>
      <w:r w:rsidR="00843328" w:rsidRPr="00896860">
        <w:t>s.  Lastly, I have used the Village of Brillion</w:t>
      </w:r>
      <w:r w:rsidR="009A5C14" w:rsidRPr="00896860">
        <w:t>’s financial condition</w:t>
      </w:r>
      <w:r w:rsidR="00AB3E57" w:rsidRPr="00896860">
        <w:t xml:space="preserve"> to compare to our situation </w:t>
      </w:r>
      <w:r w:rsidR="009A5C14" w:rsidRPr="00896860">
        <w:t>and</w:t>
      </w:r>
      <w:r w:rsidR="00AB3E57" w:rsidRPr="00896860">
        <w:t xml:space="preserve"> give some of this data relevance in </w:t>
      </w:r>
      <w:r w:rsidR="00773234" w:rsidRPr="00896860">
        <w:t>bigger picture</w:t>
      </w:r>
      <w:r w:rsidR="00AB3E57" w:rsidRPr="00896860">
        <w:t xml:space="preserve">.  </w:t>
      </w:r>
    </w:p>
    <w:p w:rsidR="00AB7360" w:rsidRPr="002300A4" w:rsidRDefault="00171FA5" w:rsidP="00AB36FA">
      <w:pPr>
        <w:jc w:val="center"/>
        <w:rPr>
          <w:sz w:val="20"/>
          <w:szCs w:val="20"/>
        </w:rPr>
      </w:pPr>
      <w:r>
        <w:rPr>
          <w:noProof/>
          <w:sz w:val="20"/>
          <w:szCs w:val="20"/>
        </w:rPr>
        <w:drawing>
          <wp:inline distT="0" distB="0" distL="0" distR="0">
            <wp:extent cx="5486400" cy="228600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736B7" w:rsidRPr="00896860" w:rsidRDefault="00773234" w:rsidP="00D736B7">
      <w:pPr>
        <w:ind w:firstLine="720"/>
      </w:pPr>
      <w:r w:rsidRPr="00896860">
        <w:t xml:space="preserve">As you can see from the 2011 Revenues </w:t>
      </w:r>
      <w:r w:rsidR="001A7A67" w:rsidRPr="00896860">
        <w:t>G</w:t>
      </w:r>
      <w:r w:rsidRPr="00896860">
        <w:t>raph</w:t>
      </w:r>
      <w:r w:rsidR="00D162C8" w:rsidRPr="00896860">
        <w:t>,</w:t>
      </w:r>
      <w:r w:rsidRPr="00896860">
        <w:t xml:space="preserve"> </w:t>
      </w:r>
      <w:r w:rsidR="001A7A67" w:rsidRPr="00896860">
        <w:t>located above</w:t>
      </w:r>
      <w:r w:rsidR="00D162C8" w:rsidRPr="00896860">
        <w:t>,</w:t>
      </w:r>
      <w:r w:rsidR="001A7A67" w:rsidRPr="00896860">
        <w:t xml:space="preserve"> </w:t>
      </w:r>
      <w:r w:rsidRPr="00896860">
        <w:t xml:space="preserve">the bulk of our </w:t>
      </w:r>
      <w:r w:rsidR="001765F0" w:rsidRPr="00896860">
        <w:t xml:space="preserve">current </w:t>
      </w:r>
      <w:r w:rsidRPr="00896860">
        <w:t xml:space="preserve">income is from the property tax levy.  </w:t>
      </w:r>
      <w:r w:rsidR="008849EE" w:rsidRPr="00896860">
        <w:t>This is very reflective of the type of community that we have</w:t>
      </w:r>
      <w:r w:rsidR="00D606FA" w:rsidRPr="00896860">
        <w:t>,</w:t>
      </w:r>
      <w:r w:rsidR="008849EE" w:rsidRPr="00896860">
        <w:t xml:space="preserve"> which has changed somewhat in the recent past due to the building of our industrial park</w:t>
      </w:r>
      <w:r w:rsidR="00D736B7" w:rsidRPr="00896860">
        <w:t xml:space="preserve"> but relatively unchanged </w:t>
      </w:r>
      <w:r w:rsidR="0073454E" w:rsidRPr="00896860">
        <w:t>over the last decade</w:t>
      </w:r>
      <w:r w:rsidR="008849EE" w:rsidRPr="00896860">
        <w:t xml:space="preserve">. </w:t>
      </w:r>
      <w:r w:rsidR="00D736B7" w:rsidRPr="00896860">
        <w:t xml:space="preserve">In addition, state shared revenues and state aid for streets also individually make up a sizable portion of our total revenues.  </w:t>
      </w:r>
      <w:r w:rsidR="0073454E" w:rsidRPr="00896860">
        <w:t xml:space="preserve">This means that it should be </w:t>
      </w:r>
      <w:r w:rsidR="00896860">
        <w:t xml:space="preserve">able to </w:t>
      </w:r>
      <w:r w:rsidR="0073454E" w:rsidRPr="00896860">
        <w:t>predict future</w:t>
      </w:r>
      <w:r w:rsidR="00896860">
        <w:t xml:space="preserve"> funding based available</w:t>
      </w:r>
      <w:r w:rsidR="0073454E" w:rsidRPr="00896860">
        <w:t xml:space="preserve"> based on current economics </w:t>
      </w:r>
      <w:r w:rsidR="00896860">
        <w:t>and current property values.</w:t>
      </w:r>
    </w:p>
    <w:p w:rsidR="00D736B7" w:rsidRPr="002300A4" w:rsidRDefault="00D736B7" w:rsidP="009A5C14">
      <w:pPr>
        <w:rPr>
          <w:sz w:val="20"/>
          <w:szCs w:val="20"/>
        </w:rPr>
      </w:pPr>
    </w:p>
    <w:p w:rsidR="009A5C14" w:rsidRPr="00896860" w:rsidRDefault="008849EE" w:rsidP="00D736B7">
      <w:pPr>
        <w:ind w:firstLine="720"/>
      </w:pPr>
      <w:r w:rsidRPr="00896860">
        <w:t>Also the change in our population</w:t>
      </w:r>
      <w:r w:rsidR="009A5C14" w:rsidRPr="00896860">
        <w:t>,</w:t>
      </w:r>
      <w:r w:rsidRPr="00896860">
        <w:t xml:space="preserve"> which has increased by fifty percent in the last twenty </w:t>
      </w:r>
      <w:r w:rsidR="0073454E" w:rsidRPr="00896860">
        <w:t>years,</w:t>
      </w:r>
      <w:r w:rsidR="009A5C14" w:rsidRPr="00896860">
        <w:t xml:space="preserve"> indicates positive growth</w:t>
      </w:r>
      <w:r w:rsidRPr="00896860">
        <w:t>.</w:t>
      </w:r>
      <w:r w:rsidR="00D736B7" w:rsidRPr="00896860">
        <w:t xml:space="preserve">  The equalized value of our community has increased from approximately 40 million dollars in 1990 to 104 million dollars in 2000 and to 189 million dollars in 2009.</w:t>
      </w:r>
      <w:r w:rsidR="00BE57A3" w:rsidRPr="00896860">
        <w:t xml:space="preserve">  This results in a 3</w:t>
      </w:r>
      <w:r w:rsidR="0073454E" w:rsidRPr="00896860">
        <w:t xml:space="preserve">60% change in equalized value over </w:t>
      </w:r>
      <w:r w:rsidR="00BE57A3" w:rsidRPr="00896860">
        <w:t>a 20 year period and 80% increase in the last ten years.</w:t>
      </w:r>
      <w:r w:rsidR="00D736B7" w:rsidRPr="00896860">
        <w:t xml:space="preserve"> </w:t>
      </w:r>
      <w:r w:rsidRPr="00896860">
        <w:t xml:space="preserve">   </w:t>
      </w:r>
    </w:p>
    <w:p w:rsidR="00295748" w:rsidRPr="00896860" w:rsidRDefault="00D162C8" w:rsidP="00BE57A3">
      <w:pPr>
        <w:ind w:firstLine="720"/>
      </w:pPr>
      <w:r w:rsidRPr="00896860">
        <w:t xml:space="preserve">A comparison between the tax base of the Village of Oostburg in 1990 </w:t>
      </w:r>
      <w:r w:rsidR="00D606FA" w:rsidRPr="00896860">
        <w:t>and</w:t>
      </w:r>
      <w:r w:rsidRPr="00896860">
        <w:t xml:space="preserve"> our current situation reveals that there has been almost no change.  While there are slight increases in the areas of Commercial Improvements and Manufacturing Land the percentage made up by </w:t>
      </w:r>
      <w:r w:rsidR="001765F0" w:rsidRPr="00896860">
        <w:t>R</w:t>
      </w:r>
      <w:r w:rsidRPr="00896860">
        <w:t xml:space="preserve">esidential Improvements still makes up </w:t>
      </w:r>
      <w:r w:rsidR="00D736B7" w:rsidRPr="00896860">
        <w:t xml:space="preserve">83% </w:t>
      </w:r>
      <w:r w:rsidRPr="00896860">
        <w:t xml:space="preserve">of the total.  </w:t>
      </w:r>
      <w:r w:rsidR="002A2D22" w:rsidRPr="00896860">
        <w:t xml:space="preserve">These changes correlate with the development of our new industrial park on lands annexed into the village limits and our efforts to diversify our financial situation through commercial development.  </w:t>
      </w:r>
      <w:r w:rsidRPr="00896860">
        <w:t xml:space="preserve">However, due to our dependence on property taxes for revenues and </w:t>
      </w:r>
      <w:r w:rsidR="00295748" w:rsidRPr="00896860">
        <w:t>possible</w:t>
      </w:r>
      <w:r w:rsidRPr="00896860">
        <w:t xml:space="preserve"> falling value</w:t>
      </w:r>
      <w:r w:rsidR="00295748" w:rsidRPr="00896860">
        <w:t>s</w:t>
      </w:r>
      <w:r w:rsidRPr="00896860">
        <w:t xml:space="preserve"> of residential properties</w:t>
      </w:r>
      <w:r w:rsidR="00295748" w:rsidRPr="00896860">
        <w:t xml:space="preserve"> this could be a concern.  New regulations from the State of Wisconsin prevent us from raising our property tax levy in 2012.  If there would be any projected shortfalls in the 2012 budget, consideration </w:t>
      </w:r>
      <w:r w:rsidR="00896860">
        <w:t>may</w:t>
      </w:r>
      <w:r w:rsidR="00295748" w:rsidRPr="00896860">
        <w:t xml:space="preserve"> have to be given to creating new fees for current services or reducing services and </w:t>
      </w:r>
      <w:r w:rsidR="002300A4" w:rsidRPr="00896860">
        <w:t>personnel</w:t>
      </w:r>
      <w:r w:rsidR="00295748" w:rsidRPr="00896860">
        <w:t>.</w:t>
      </w:r>
    </w:p>
    <w:p w:rsidR="001561E4" w:rsidRDefault="009A5C14" w:rsidP="00773234">
      <w:r>
        <w:t xml:space="preserve"> </w:t>
      </w:r>
      <w:r w:rsidR="00171FA5">
        <w:rPr>
          <w:noProof/>
        </w:rPr>
        <w:drawing>
          <wp:inline distT="0" distB="0" distL="0" distR="0">
            <wp:extent cx="2926080" cy="2743200"/>
            <wp:effectExtent l="0" t="0" r="0" b="0"/>
            <wp:docPr id="2"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171FA5">
        <w:rPr>
          <w:noProof/>
        </w:rPr>
        <w:drawing>
          <wp:inline distT="0" distB="0" distL="0" distR="0">
            <wp:extent cx="2926080" cy="2743200"/>
            <wp:effectExtent l="0" t="0" r="0" b="0"/>
            <wp:docPr id="3"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A3704" w:rsidRPr="00896860" w:rsidRDefault="001A7A67" w:rsidP="009A5C14">
      <w:pPr>
        <w:ind w:firstLine="720"/>
      </w:pPr>
      <w:r w:rsidRPr="00896860">
        <w:t xml:space="preserve">By looking </w:t>
      </w:r>
      <w:r w:rsidR="009A5C14" w:rsidRPr="00896860">
        <w:t xml:space="preserve">at </w:t>
      </w:r>
      <w:r w:rsidRPr="00896860">
        <w:t>the 2011 Expenses Graph located</w:t>
      </w:r>
      <w:r w:rsidR="009A5C14" w:rsidRPr="00896860">
        <w:t xml:space="preserve"> on the next page it can be seen</w:t>
      </w:r>
      <w:r w:rsidRPr="00896860">
        <w:t xml:space="preserve"> that our greatest expenditure is in the area of public works.  </w:t>
      </w:r>
      <w:r w:rsidR="001765F0" w:rsidRPr="00896860">
        <w:t>DPW</w:t>
      </w:r>
      <w:r w:rsidRPr="00896860">
        <w:t xml:space="preserve"> has the largest number of full time emplo</w:t>
      </w:r>
      <w:r w:rsidR="001765F0" w:rsidRPr="00896860">
        <w:t>yees and also the highway maintenance</w:t>
      </w:r>
      <w:r w:rsidR="008849EE" w:rsidRPr="00896860">
        <w:t xml:space="preserve"> and constructions costs are </w:t>
      </w:r>
      <w:r w:rsidRPr="00896860">
        <w:t>included in this category.</w:t>
      </w:r>
      <w:r w:rsidR="001765F0" w:rsidRPr="00896860">
        <w:t xml:space="preserve">  It should be taken into considerati</w:t>
      </w:r>
      <w:r w:rsidR="009A5C14" w:rsidRPr="00896860">
        <w:t>on that some of this expense is</w:t>
      </w:r>
      <w:r w:rsidR="001765F0" w:rsidRPr="00896860">
        <w:t xml:space="preserve"> offset by the</w:t>
      </w:r>
      <w:r w:rsidR="009A3704" w:rsidRPr="00896860">
        <w:t xml:space="preserve"> almost one half of a million dollars in state and local grants for our current capital and maintenance</w:t>
      </w:r>
      <w:r w:rsidR="008849EE" w:rsidRPr="00896860">
        <w:t xml:space="preserve"> projects.  Also the expenditures for the  </w:t>
      </w:r>
      <w:r w:rsidR="00B92DB5" w:rsidRPr="00896860">
        <w:t>maintenance</w:t>
      </w:r>
      <w:r w:rsidR="008849EE" w:rsidRPr="00896860">
        <w:t xml:space="preserve"> of village parks is actually accounted for under Culture, Recreation and Education category even though the maintenance is conducted by DPW employees.</w:t>
      </w:r>
      <w:r w:rsidR="009A3704" w:rsidRPr="00896860">
        <w:t xml:space="preserve"> </w:t>
      </w:r>
      <w:r w:rsidRPr="00896860">
        <w:t xml:space="preserve"> </w:t>
      </w:r>
    </w:p>
    <w:p w:rsidR="00896860" w:rsidRDefault="009A3704" w:rsidP="00773234">
      <w:r w:rsidRPr="00896860">
        <w:tab/>
      </w:r>
    </w:p>
    <w:p w:rsidR="00896860" w:rsidRDefault="00896860" w:rsidP="00773234"/>
    <w:p w:rsidR="00773234" w:rsidRDefault="009A3704" w:rsidP="00896860">
      <w:pPr>
        <w:ind w:firstLine="720"/>
      </w:pPr>
      <w:r w:rsidRPr="00896860">
        <w:t xml:space="preserve">Almost three quarters of the rest of our total expenses can be attributed to the general business of the village.  Nineteen percent of this year’s budget went to cover the payment of financial obligations previously acquired and </w:t>
      </w:r>
      <w:r w:rsidR="00C60C7E" w:rsidRPr="00896860">
        <w:t>twelve</w:t>
      </w:r>
      <w:r w:rsidRPr="00896860">
        <w:t xml:space="preserve"> percent is consumed by the General Government Account.  </w:t>
      </w:r>
      <w:r w:rsidR="00896860">
        <w:t>C</w:t>
      </w:r>
      <w:r w:rsidRPr="00896860">
        <w:t>onsideration should be given to the later based on inflating employee, insurance, utilities</w:t>
      </w:r>
      <w:r w:rsidR="00DE083A" w:rsidRPr="00896860">
        <w:t xml:space="preserve">, </w:t>
      </w:r>
      <w:r w:rsidRPr="00896860">
        <w:t>building maintenance</w:t>
      </w:r>
      <w:r w:rsidR="00DE083A" w:rsidRPr="00896860">
        <w:t xml:space="preserve"> and general operating</w:t>
      </w:r>
      <w:r w:rsidRPr="00896860">
        <w:t xml:space="preserve"> costs.  </w:t>
      </w:r>
      <w:r w:rsidR="00773234" w:rsidRPr="00896860">
        <w:t xml:space="preserve">  </w:t>
      </w:r>
    </w:p>
    <w:p w:rsidR="00F85B8D" w:rsidRPr="00896860" w:rsidRDefault="00F85B8D" w:rsidP="00896860">
      <w:pPr>
        <w:ind w:firstLine="720"/>
      </w:pPr>
    </w:p>
    <w:p w:rsidR="00AC0668" w:rsidRDefault="00171FA5" w:rsidP="00AB36FA">
      <w:pPr>
        <w:jc w:val="center"/>
      </w:pPr>
      <w:r>
        <w:rPr>
          <w:noProof/>
        </w:rPr>
        <w:drawing>
          <wp:inline distT="0" distB="0" distL="0" distR="0">
            <wp:extent cx="5532120" cy="2743200"/>
            <wp:effectExtent l="0" t="0" r="0" b="0"/>
            <wp:docPr id="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85B8D" w:rsidRDefault="00F85B8D" w:rsidP="00DC0FA9">
      <w:pPr>
        <w:ind w:firstLine="720"/>
      </w:pPr>
    </w:p>
    <w:p w:rsidR="00944648" w:rsidRPr="00896860" w:rsidRDefault="00DE083A" w:rsidP="00DC0FA9">
      <w:pPr>
        <w:ind w:firstLine="720"/>
      </w:pPr>
      <w:r w:rsidRPr="00896860">
        <w:t xml:space="preserve">A look at our greatest expenditures in the long-term shows several things.  </w:t>
      </w:r>
      <w:r w:rsidR="00944648" w:rsidRPr="00896860">
        <w:t>First t</w:t>
      </w:r>
      <w:r w:rsidRPr="00896860">
        <w:t xml:space="preserve">hat the amount of resources spent on new highway construction recently has increased significantly while the amount spent of </w:t>
      </w:r>
      <w:r w:rsidR="00944648" w:rsidRPr="00896860">
        <w:t>maintenance</w:t>
      </w:r>
      <w:r w:rsidRPr="00896860">
        <w:t xml:space="preserve"> has decreased.  Notably, the amount that we are spending on new construction is dependent on specific projects and is often funded through grants in aid.  However, the decrease in </w:t>
      </w:r>
      <w:r w:rsidR="00944648" w:rsidRPr="00896860">
        <w:t>maintenance</w:t>
      </w:r>
      <w:r w:rsidRPr="00896860">
        <w:t xml:space="preserve"> </w:t>
      </w:r>
      <w:r w:rsidR="00C60C7E" w:rsidRPr="00896860">
        <w:t>expenditures</w:t>
      </w:r>
      <w:r w:rsidRPr="00896860">
        <w:t xml:space="preserve"> could be a sign of a lack of needed </w:t>
      </w:r>
      <w:r w:rsidR="00944648" w:rsidRPr="00896860">
        <w:t>maintenance</w:t>
      </w:r>
      <w:r w:rsidRPr="00896860">
        <w:t xml:space="preserve"> of city infrastructure and should be taken into consideration</w:t>
      </w:r>
      <w:r w:rsidR="00C60C7E" w:rsidRPr="00896860">
        <w:t xml:space="preserve"> as part of long-term planning strategies</w:t>
      </w:r>
      <w:r w:rsidRPr="00896860">
        <w:t xml:space="preserve">.  </w:t>
      </w:r>
    </w:p>
    <w:p w:rsidR="00944648" w:rsidRPr="00896860" w:rsidRDefault="008849EE" w:rsidP="00944648">
      <w:pPr>
        <w:ind w:firstLine="720"/>
      </w:pPr>
      <w:r w:rsidRPr="00896860">
        <w:t>Also, the expendi</w:t>
      </w:r>
      <w:r w:rsidR="00944648" w:rsidRPr="00896860">
        <w:t xml:space="preserve">tures for snow and ice removal and </w:t>
      </w:r>
      <w:r w:rsidRPr="00896860">
        <w:t>lawn care</w:t>
      </w:r>
      <w:r w:rsidR="00944648" w:rsidRPr="00896860">
        <w:t xml:space="preserve"> showed a significant decrease this year to the amount of only $9000.00 unless the budgeted amount is exceeded.  This is shown in the graph below in the </w:t>
      </w:r>
      <w:r w:rsidR="009A5C14" w:rsidRPr="00896860">
        <w:t>C</w:t>
      </w:r>
      <w:r w:rsidR="00944648" w:rsidRPr="00896860">
        <w:t xml:space="preserve">onservation and </w:t>
      </w:r>
      <w:r w:rsidR="009A5C14" w:rsidRPr="00896860">
        <w:t>D</w:t>
      </w:r>
      <w:r w:rsidR="00944648" w:rsidRPr="00896860">
        <w:t xml:space="preserve">evelopment category.  </w:t>
      </w:r>
    </w:p>
    <w:p w:rsidR="00C7774C" w:rsidRPr="00896860" w:rsidRDefault="00944648" w:rsidP="00944648">
      <w:pPr>
        <w:ind w:firstLine="720"/>
      </w:pPr>
      <w:r w:rsidRPr="00896860">
        <w:t xml:space="preserve">Lastly, the most significant factor is the </w:t>
      </w:r>
      <w:r w:rsidR="009A5C14" w:rsidRPr="00896860">
        <w:t xml:space="preserve">sharp </w:t>
      </w:r>
      <w:r w:rsidRPr="00896860">
        <w:t>increase</w:t>
      </w:r>
      <w:r w:rsidR="00DE083A" w:rsidRPr="00896860">
        <w:t xml:space="preserve"> </w:t>
      </w:r>
      <w:r w:rsidRPr="00896860">
        <w:t xml:space="preserve">in the area of General Government over the last couple years after a two decade period of general stability.  This is </w:t>
      </w:r>
      <w:r w:rsidR="00C60C7E" w:rsidRPr="00896860">
        <w:t>the</w:t>
      </w:r>
      <w:r w:rsidRPr="00896860">
        <w:t xml:space="preserve"> result of inflating operating </w:t>
      </w:r>
      <w:r w:rsidR="009A5C14" w:rsidRPr="00896860">
        <w:t xml:space="preserve">and employee </w:t>
      </w:r>
      <w:r w:rsidRPr="00896860">
        <w:t>costs</w:t>
      </w:r>
      <w:r w:rsidR="009A5C14" w:rsidRPr="00896860">
        <w:t>.</w:t>
      </w:r>
      <w:r w:rsidRPr="00896860">
        <w:t xml:space="preserve"> </w:t>
      </w:r>
      <w:r w:rsidR="009A5C14" w:rsidRPr="00896860">
        <w:t>It</w:t>
      </w:r>
      <w:r w:rsidRPr="00896860">
        <w:t xml:space="preserve"> </w:t>
      </w:r>
      <w:r w:rsidR="00C60C7E" w:rsidRPr="00896860">
        <w:t>is</w:t>
      </w:r>
      <w:r w:rsidRPr="00896860">
        <w:t xml:space="preserve"> an indicator that the economic condition of the village is changing.  Caution should be used when </w:t>
      </w:r>
      <w:r w:rsidR="008849EE" w:rsidRPr="00896860">
        <w:t xml:space="preserve">considering obligations for the upcoming year in this area so not to put the village’s near term financing situation in jeopardy.  </w:t>
      </w:r>
    </w:p>
    <w:p w:rsidR="00C7774C" w:rsidRDefault="00171FA5">
      <w:r>
        <w:rPr>
          <w:noProof/>
        </w:rPr>
        <w:drawing>
          <wp:inline distT="0" distB="0" distL="0" distR="0">
            <wp:extent cx="5486400" cy="2286000"/>
            <wp:effectExtent l="0" t="0" r="0" b="0"/>
            <wp:docPr id="5"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66E86" w:rsidRDefault="00C60C7E" w:rsidP="008D78C4">
      <w:r>
        <w:tab/>
      </w:r>
      <w:r w:rsidRPr="00896860">
        <w:t xml:space="preserve">A look at the long-term financial position shows that after experiencing a decade of stability the village exceeded its revenues in 2000 when the industrial park was built.  </w:t>
      </w:r>
      <w:r w:rsidR="00B92DB5" w:rsidRPr="00896860">
        <w:t xml:space="preserve">This resulted in seeking outside funding which will continue to affect the budget until these obligations are satisfied.  </w:t>
      </w:r>
      <w:r w:rsidRPr="00896860">
        <w:t xml:space="preserve">While, expenditures have </w:t>
      </w:r>
      <w:r w:rsidR="002A2D22" w:rsidRPr="00896860">
        <w:t xml:space="preserve">recently </w:t>
      </w:r>
      <w:r w:rsidRPr="00896860">
        <w:t xml:space="preserve">been brought more in line with revenue resources the general revenues of the village were exceeded in 2009 and it still remains to be seen if the village can stay </w:t>
      </w:r>
      <w:r w:rsidR="00B92DB5" w:rsidRPr="00896860">
        <w:t>within</w:t>
      </w:r>
      <w:r w:rsidRPr="00896860">
        <w:t xml:space="preserve"> the approved budget for 2011.</w:t>
      </w:r>
    </w:p>
    <w:p w:rsidR="00896860" w:rsidRDefault="009173BB" w:rsidP="009173BB">
      <w:pPr>
        <w:rPr>
          <w:sz w:val="20"/>
          <w:szCs w:val="20"/>
        </w:rPr>
      </w:pPr>
      <w:r>
        <w:tab/>
      </w:r>
      <w:r w:rsidRPr="00896860">
        <w:t xml:space="preserve">A historical look at the income sources for the village is reflected </w:t>
      </w:r>
      <w:r w:rsidR="00896860">
        <w:t>on the next page</w:t>
      </w:r>
      <w:r w:rsidRPr="00896860">
        <w:t xml:space="preserve"> in the</w:t>
      </w:r>
      <w:r w:rsidR="002A2D22" w:rsidRPr="00896860">
        <w:t xml:space="preserve"> T</w:t>
      </w:r>
      <w:r w:rsidRPr="00896860">
        <w:t>rends</w:t>
      </w:r>
      <w:r w:rsidR="002A2D22" w:rsidRPr="00896860">
        <w:t xml:space="preserve"> in Income</w:t>
      </w:r>
      <w:r w:rsidRPr="00896860">
        <w:t xml:space="preserve"> chart.  With state shared revenues in decline the chart shows that the village is not overly dependent on this </w:t>
      </w:r>
      <w:r w:rsidR="002A2D22" w:rsidRPr="00896860">
        <w:t xml:space="preserve">as a </w:t>
      </w:r>
      <w:r w:rsidRPr="00896860">
        <w:t>funding source and that shared revenues have remained almost unchanged in twenty years.</w:t>
      </w:r>
      <w:r w:rsidRPr="002300A4">
        <w:rPr>
          <w:sz w:val="20"/>
          <w:szCs w:val="20"/>
        </w:rPr>
        <w:t xml:space="preserve">  </w:t>
      </w:r>
    </w:p>
    <w:p w:rsidR="008D78C4" w:rsidRDefault="00171FA5" w:rsidP="009173BB">
      <w:r>
        <w:rPr>
          <w:noProof/>
        </w:rPr>
        <w:drawing>
          <wp:inline distT="0" distB="0" distL="0" distR="0">
            <wp:extent cx="5486400" cy="1828800"/>
            <wp:effectExtent l="0" t="0" r="0" b="0"/>
            <wp:docPr id="6"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78C4" w:rsidRDefault="002A2D22" w:rsidP="008D78C4">
      <w:pPr>
        <w:ind w:firstLine="720"/>
      </w:pPr>
      <w:r w:rsidRPr="00896860">
        <w:t>C</w:t>
      </w:r>
      <w:r w:rsidR="00F42800" w:rsidRPr="00896860">
        <w:t xml:space="preserve">omparing the Village of Oostburg’s current financial outlook to a similar </w:t>
      </w:r>
      <w:r w:rsidRPr="00896860">
        <w:t>village</w:t>
      </w:r>
      <w:r w:rsidR="00F42800" w:rsidRPr="00896860">
        <w:t xml:space="preserve"> may also help predict its future financial position.  The Village of Brillion has a tax base very similar to Oostburg with slightly more Commercial </w:t>
      </w:r>
      <w:r w:rsidRPr="00896860">
        <w:t>I</w:t>
      </w:r>
      <w:r w:rsidR="00F42800" w:rsidRPr="00896860">
        <w:t xml:space="preserve">mprovements.  Brillion has seen almost no increase in population in the last twenty years as compared to the growth seen in Oostburg.  Brillion has also seen an increase and then a slight decrease in state shared revenues for an overall increase in the last twenty years of $150,000. </w:t>
      </w:r>
      <w:r w:rsidRPr="00896860">
        <w:t xml:space="preserve">  Brillion receives three times the amount of shared revenues that the Village of Oostburg does and will be affected greater by any reductions in this funding. </w:t>
      </w:r>
    </w:p>
    <w:p w:rsidR="00F85B8D" w:rsidRDefault="002A2D22" w:rsidP="008D78C4">
      <w:pPr>
        <w:ind w:firstLine="720"/>
      </w:pPr>
      <w:r w:rsidRPr="00896860">
        <w:t xml:space="preserve"> </w:t>
      </w:r>
      <w:r w:rsidR="00F42800" w:rsidRPr="00896860">
        <w:t xml:space="preserve"> </w:t>
      </w:r>
      <w:r w:rsidRPr="00896860">
        <w:t>Also</w:t>
      </w:r>
      <w:r w:rsidR="00F42800" w:rsidRPr="00896860">
        <w:t>, Brillion has experienced an increase of 29% in general expenditures and an increase in general revenues of 17%.  While in the same twenty year span Oostburg has realized an increase in general revenues of 19% and only a 15% increase in operating expenditures.</w:t>
      </w:r>
      <w:r w:rsidR="002300A4" w:rsidRPr="00896860">
        <w:t xml:space="preserve">  Lastly, Brillion has only realized a 40% increase in equalized value in the last ten years compared to Oostburg’s 80% increase.</w:t>
      </w:r>
    </w:p>
    <w:p w:rsidR="00F42800" w:rsidRPr="00896860" w:rsidRDefault="00CF3E31" w:rsidP="008D78C4">
      <w:pPr>
        <w:ind w:firstLine="720"/>
      </w:pPr>
      <w:r w:rsidRPr="00896860">
        <w:t xml:space="preserve">  </w:t>
      </w:r>
      <w:r w:rsidR="00F42800" w:rsidRPr="00896860">
        <w:t xml:space="preserve">  </w:t>
      </w:r>
    </w:p>
    <w:p w:rsidR="00244946" w:rsidRDefault="00171FA5" w:rsidP="00244946">
      <w:pPr>
        <w:jc w:val="center"/>
      </w:pPr>
      <w:r>
        <w:rPr>
          <w:noProof/>
        </w:rPr>
        <w:drawing>
          <wp:inline distT="0" distB="0" distL="0" distR="0">
            <wp:extent cx="4572000" cy="2286000"/>
            <wp:effectExtent l="19050" t="0" r="0" b="0"/>
            <wp:docPr id="7" name="Chart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9"/>
                    <pic:cNvPicPr>
                      <a:picLocks noChangeArrowheads="1"/>
                    </pic:cNvPicPr>
                  </pic:nvPicPr>
                  <pic:blipFill>
                    <a:blip r:embed="rId11" cstate="print"/>
                    <a:srcRect/>
                    <a:stretch>
                      <a:fillRect/>
                    </a:stretch>
                  </pic:blipFill>
                  <pic:spPr bwMode="auto">
                    <a:xfrm>
                      <a:off x="0" y="0"/>
                      <a:ext cx="4572000" cy="2286000"/>
                    </a:xfrm>
                    <a:prstGeom prst="rect">
                      <a:avLst/>
                    </a:prstGeom>
                    <a:noFill/>
                    <a:ln w="9525">
                      <a:noFill/>
                      <a:miter lim="800000"/>
                      <a:headEnd/>
                      <a:tailEnd/>
                    </a:ln>
                  </pic:spPr>
                </pic:pic>
              </a:graphicData>
            </a:graphic>
          </wp:inline>
        </w:drawing>
      </w:r>
    </w:p>
    <w:p w:rsidR="00F85B8D" w:rsidRDefault="00F85B8D" w:rsidP="00F42800"/>
    <w:p w:rsidR="008D78C4" w:rsidRDefault="00F42800" w:rsidP="00F42800">
      <w:r>
        <w:tab/>
      </w:r>
      <w:r w:rsidRPr="00896860">
        <w:t>This suggest</w:t>
      </w:r>
      <w:r w:rsidR="00CF3E31" w:rsidRPr="00896860">
        <w:t>s</w:t>
      </w:r>
      <w:r w:rsidRPr="00896860">
        <w:t xml:space="preserve"> that in the current</w:t>
      </w:r>
      <w:r w:rsidR="00CF3E31" w:rsidRPr="00896860">
        <w:t>ly slowed</w:t>
      </w:r>
      <w:r w:rsidRPr="00896860">
        <w:t xml:space="preserve"> economic climate Oostburg may be in a better financial position than a </w:t>
      </w:r>
      <w:r w:rsidR="008D78C4">
        <w:t>municipality of similar size</w:t>
      </w:r>
      <w:r w:rsidR="00CF3E31" w:rsidRPr="00896860">
        <w:t>.  The village of Oostburg is not as dependent on state shared revenues</w:t>
      </w:r>
      <w:r w:rsidR="008D78C4">
        <w:t>,</w:t>
      </w:r>
      <w:r w:rsidR="00CF3E31" w:rsidRPr="00896860">
        <w:t xml:space="preserve"> which fluctuate and have been decreasing.  Also, Oostburg is experiencing growth while Brilli</w:t>
      </w:r>
      <w:r w:rsidR="002A2D22" w:rsidRPr="00896860">
        <w:t>on appears to have remained relatively</w:t>
      </w:r>
      <w:r w:rsidR="00CF3E31" w:rsidRPr="00896860">
        <w:t xml:space="preserve"> unchanged in the last twenty years.  Also, </w:t>
      </w:r>
      <w:r w:rsidR="008D78C4">
        <w:t xml:space="preserve">Oostburg </w:t>
      </w:r>
      <w:r w:rsidR="00CF3E31" w:rsidRPr="00896860">
        <w:t xml:space="preserve">has been able to show a larger rate of increase in revenues as compared to expenditures.  </w:t>
      </w:r>
    </w:p>
    <w:p w:rsidR="002A2D22" w:rsidRPr="00CA0D47" w:rsidRDefault="002A2D22" w:rsidP="00F42800">
      <w:r w:rsidRPr="00896860">
        <w:tab/>
      </w:r>
      <w:r w:rsidR="008D78C4">
        <w:t xml:space="preserve">Overall I believe that the Village of Oostburg is very financially stable and the preparation of the tentative budget for 2012 should be realized on time.  </w:t>
      </w:r>
      <w:r w:rsidRPr="00896860">
        <w:t>I hope that this memorandum assist</w:t>
      </w:r>
      <w:r w:rsidR="00252340" w:rsidRPr="00896860">
        <w:t>s</w:t>
      </w:r>
      <w:r w:rsidRPr="00896860">
        <w:t xml:space="preserve"> you in preparing a budget for the 2012 Fiscal Year.  Please feel free to let me know if there are other statistics that you would like to consider during this process.  I look forward to working with you on this in the future and will further explain the relevance of this document at the next council meeting.</w:t>
      </w:r>
    </w:p>
    <w:sectPr w:rsidR="002A2D22" w:rsidRPr="00CA0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62"/>
    <w:rsid w:val="000F6115"/>
    <w:rsid w:val="001561E4"/>
    <w:rsid w:val="00171FA5"/>
    <w:rsid w:val="001765F0"/>
    <w:rsid w:val="001A7A67"/>
    <w:rsid w:val="002300A4"/>
    <w:rsid w:val="00244946"/>
    <w:rsid w:val="00252340"/>
    <w:rsid w:val="00266E86"/>
    <w:rsid w:val="00295748"/>
    <w:rsid w:val="002A2D22"/>
    <w:rsid w:val="003205B4"/>
    <w:rsid w:val="003A0C88"/>
    <w:rsid w:val="004D0CB3"/>
    <w:rsid w:val="00522542"/>
    <w:rsid w:val="0073454E"/>
    <w:rsid w:val="00773234"/>
    <w:rsid w:val="00843328"/>
    <w:rsid w:val="008849EE"/>
    <w:rsid w:val="00896860"/>
    <w:rsid w:val="008D78C4"/>
    <w:rsid w:val="009173BB"/>
    <w:rsid w:val="00944648"/>
    <w:rsid w:val="009A3704"/>
    <w:rsid w:val="009A5C14"/>
    <w:rsid w:val="00A20BEB"/>
    <w:rsid w:val="00AA778F"/>
    <w:rsid w:val="00AB36FA"/>
    <w:rsid w:val="00AB3E57"/>
    <w:rsid w:val="00AB7360"/>
    <w:rsid w:val="00AC0668"/>
    <w:rsid w:val="00B92DB5"/>
    <w:rsid w:val="00BE57A3"/>
    <w:rsid w:val="00C60C7E"/>
    <w:rsid w:val="00C7774C"/>
    <w:rsid w:val="00CA0D47"/>
    <w:rsid w:val="00CB59D3"/>
    <w:rsid w:val="00CD61D6"/>
    <w:rsid w:val="00CF3E31"/>
    <w:rsid w:val="00D162C8"/>
    <w:rsid w:val="00D606FA"/>
    <w:rsid w:val="00D736B7"/>
    <w:rsid w:val="00DC0FA9"/>
    <w:rsid w:val="00DE083A"/>
    <w:rsid w:val="00EF3662"/>
    <w:rsid w:val="00F12FA7"/>
    <w:rsid w:val="00F42800"/>
    <w:rsid w:val="00F8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7E29B-1CE9-431A-AD2D-17BC2EFE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7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774C"/>
    <w:rPr>
      <w:rFonts w:ascii="Tahoma" w:hAnsi="Tahoma" w:cs="Tahoma"/>
      <w:sz w:val="16"/>
      <w:szCs w:val="16"/>
    </w:rPr>
  </w:style>
  <w:style w:type="paragraph" w:customStyle="1" w:styleId="DocumentLabel">
    <w:name w:val="Document Label"/>
    <w:basedOn w:val="Normal"/>
    <w:next w:val="Normal"/>
    <w:rsid w:val="00AC0668"/>
    <w:pPr>
      <w:keepNext/>
      <w:keepLines/>
      <w:spacing w:before="400" w:after="120" w:line="240" w:lineRule="atLeast"/>
      <w:ind w:left="-840"/>
    </w:pPr>
    <w:rPr>
      <w:rFonts w:ascii="Arial Black" w:eastAsia="Times New Roman" w:hAnsi="Arial Black"/>
      <w:spacing w:val="-5"/>
      <w:kern w:val="28"/>
      <w:sz w:val="96"/>
      <w:szCs w:val="20"/>
    </w:rPr>
  </w:style>
  <w:style w:type="paragraph" w:customStyle="1" w:styleId="MessageHeaderFirst">
    <w:name w:val="Message Header First"/>
    <w:basedOn w:val="MessageHeader"/>
    <w:next w:val="MessageHeader"/>
    <w:rsid w:val="00AC0668"/>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720" w:hanging="720"/>
    </w:pPr>
    <w:rPr>
      <w:rFonts w:ascii="Arial" w:hAnsi="Arial"/>
      <w:spacing w:val="-5"/>
      <w:sz w:val="20"/>
      <w:szCs w:val="20"/>
    </w:rPr>
  </w:style>
  <w:style w:type="character" w:customStyle="1" w:styleId="MessageHeaderLabel">
    <w:name w:val="Message Header Label"/>
    <w:rsid w:val="00AC0668"/>
    <w:rPr>
      <w:rFonts w:ascii="Arial Black" w:hAnsi="Arial Black"/>
      <w:spacing w:val="-10"/>
      <w:sz w:val="18"/>
    </w:rPr>
  </w:style>
  <w:style w:type="paragraph" w:customStyle="1" w:styleId="MessageHeaderLast">
    <w:name w:val="Message Header Last"/>
    <w:basedOn w:val="MessageHeader"/>
    <w:next w:val="BodyText"/>
    <w:rsid w:val="00AC0668"/>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720" w:hanging="720"/>
    </w:pPr>
    <w:rPr>
      <w:rFonts w:ascii="Arial" w:hAnsi="Arial"/>
      <w:spacing w:val="-5"/>
      <w:sz w:val="20"/>
      <w:szCs w:val="20"/>
    </w:rPr>
  </w:style>
  <w:style w:type="paragraph" w:styleId="MessageHeader">
    <w:name w:val="Message Header"/>
    <w:basedOn w:val="Normal"/>
    <w:link w:val="MessageHeaderChar"/>
    <w:uiPriority w:val="99"/>
    <w:semiHidden/>
    <w:unhideWhenUsed/>
    <w:rsid w:val="00AC066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sz w:val="24"/>
      <w:szCs w:val="24"/>
    </w:rPr>
  </w:style>
  <w:style w:type="character" w:customStyle="1" w:styleId="MessageHeaderChar">
    <w:name w:val="Message Header Char"/>
    <w:link w:val="MessageHeader"/>
    <w:uiPriority w:val="99"/>
    <w:semiHidden/>
    <w:rsid w:val="00AC0668"/>
    <w:rPr>
      <w:rFonts w:ascii="Cambria" w:eastAsia="Times New Roman" w:hAnsi="Cambria" w:cs="Times New Roman"/>
      <w:sz w:val="24"/>
      <w:szCs w:val="24"/>
      <w:shd w:val="pct20" w:color="auto" w:fill="auto"/>
    </w:rPr>
  </w:style>
  <w:style w:type="paragraph" w:styleId="BodyText">
    <w:name w:val="Body Text"/>
    <w:basedOn w:val="Normal"/>
    <w:link w:val="BodyTextChar"/>
    <w:uiPriority w:val="99"/>
    <w:semiHidden/>
    <w:unhideWhenUsed/>
    <w:rsid w:val="00AC0668"/>
    <w:pPr>
      <w:spacing w:after="120"/>
    </w:pPr>
  </w:style>
  <w:style w:type="character" w:customStyle="1" w:styleId="BodyTextChar">
    <w:name w:val="Body Text Char"/>
    <w:basedOn w:val="DefaultParagraphFont"/>
    <w:link w:val="BodyText"/>
    <w:uiPriority w:val="99"/>
    <w:semiHidden/>
    <w:rsid w:val="00AC0668"/>
  </w:style>
  <w:style w:type="character" w:styleId="CommentReference">
    <w:name w:val="annotation reference"/>
    <w:uiPriority w:val="99"/>
    <w:semiHidden/>
    <w:unhideWhenUsed/>
    <w:rsid w:val="004D0CB3"/>
    <w:rPr>
      <w:sz w:val="16"/>
      <w:szCs w:val="16"/>
    </w:rPr>
  </w:style>
  <w:style w:type="paragraph" w:styleId="CommentText">
    <w:name w:val="annotation text"/>
    <w:basedOn w:val="Normal"/>
    <w:link w:val="CommentTextChar"/>
    <w:uiPriority w:val="99"/>
    <w:semiHidden/>
    <w:unhideWhenUsed/>
    <w:rsid w:val="004D0CB3"/>
    <w:pPr>
      <w:spacing w:line="240" w:lineRule="auto"/>
    </w:pPr>
    <w:rPr>
      <w:sz w:val="20"/>
      <w:szCs w:val="20"/>
    </w:rPr>
  </w:style>
  <w:style w:type="character" w:customStyle="1" w:styleId="CommentTextChar">
    <w:name w:val="Comment Text Char"/>
    <w:link w:val="CommentText"/>
    <w:uiPriority w:val="99"/>
    <w:semiHidden/>
    <w:rsid w:val="004D0CB3"/>
    <w:rPr>
      <w:sz w:val="20"/>
      <w:szCs w:val="20"/>
    </w:rPr>
  </w:style>
  <w:style w:type="paragraph" w:styleId="CommentSubject">
    <w:name w:val="annotation subject"/>
    <w:basedOn w:val="CommentText"/>
    <w:next w:val="CommentText"/>
    <w:link w:val="CommentSubjectChar"/>
    <w:uiPriority w:val="99"/>
    <w:semiHidden/>
    <w:unhideWhenUsed/>
    <w:rsid w:val="004D0CB3"/>
    <w:rPr>
      <w:b/>
      <w:bCs/>
    </w:rPr>
  </w:style>
  <w:style w:type="character" w:customStyle="1" w:styleId="CommentSubjectChar">
    <w:name w:val="Comment Subject Char"/>
    <w:link w:val="CommentSubject"/>
    <w:uiPriority w:val="99"/>
    <w:semiHidden/>
    <w:rsid w:val="004D0C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11" Type="http://schemas.openxmlformats.org/officeDocument/2006/relationships/image" Target="media/image1.png"/><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2011 Revenues</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Data!$A$90:$A$93</c:f>
              <c:strCache>
                <c:ptCount val="4"/>
                <c:pt idx="0">
                  <c:v>All Other Revenue</c:v>
                </c:pt>
                <c:pt idx="1">
                  <c:v>Property Taxes</c:v>
                </c:pt>
                <c:pt idx="2">
                  <c:v>State Shared Revenues</c:v>
                </c:pt>
                <c:pt idx="3">
                  <c:v>State Aid for Streets</c:v>
                </c:pt>
              </c:strCache>
            </c:strRef>
          </c:cat>
          <c:val>
            <c:numRef>
              <c:f>Data!$C$90:$C$93</c:f>
              <c:numCache>
                <c:formatCode>General</c:formatCode>
                <c:ptCount val="4"/>
                <c:pt idx="0">
                  <c:v>0.23581954208027853</c:v>
                </c:pt>
                <c:pt idx="1">
                  <c:v>0.54570924495320561</c:v>
                </c:pt>
                <c:pt idx="2">
                  <c:v>9.8711255369285558E-2</c:v>
                </c:pt>
                <c:pt idx="3">
                  <c:v>0.11975995759723058</c:v>
                </c:pt>
              </c:numCache>
            </c:numRef>
          </c:val>
        </c:ser>
        <c:dLbls>
          <c:showLegendKey val="0"/>
          <c:showVal val="0"/>
          <c:showCatName val="0"/>
          <c:showSerName val="0"/>
          <c:showPercent val="0"/>
          <c:showBubbleSize val="0"/>
          <c:showLeaderLines val="1"/>
        </c:dLbls>
        <c:firstSliceAng val="0"/>
      </c:pieChart>
      <c:spPr>
        <a:noFill/>
        <a:ln w="25398">
          <a:noFill/>
        </a:ln>
      </c:spPr>
    </c:plotArea>
    <c:legend>
      <c:legendPos val="t"/>
      <c:overlay val="0"/>
    </c:legend>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 Tax Base 2009</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Data!$A$108:$A$111</c:f>
              <c:strCache>
                <c:ptCount val="4"/>
                <c:pt idx="0">
                  <c:v>Residential</c:v>
                </c:pt>
                <c:pt idx="1">
                  <c:v>Comercial</c:v>
                </c:pt>
                <c:pt idx="2">
                  <c:v>Manufacturing</c:v>
                </c:pt>
                <c:pt idx="3">
                  <c:v>Agricutlure</c:v>
                </c:pt>
              </c:strCache>
            </c:strRef>
          </c:cat>
          <c:val>
            <c:numRef>
              <c:f>Data!$C$108:$C$111</c:f>
              <c:numCache>
                <c:formatCode>General</c:formatCode>
                <c:ptCount val="4"/>
                <c:pt idx="0" formatCode="0">
                  <c:v>158497800</c:v>
                </c:pt>
                <c:pt idx="1">
                  <c:v>23983100</c:v>
                </c:pt>
                <c:pt idx="2">
                  <c:v>7027200</c:v>
                </c:pt>
                <c:pt idx="3">
                  <c:v>40600</c:v>
                </c:pt>
              </c:numCache>
            </c:numRef>
          </c:val>
        </c:ser>
        <c:dLbls>
          <c:showLegendKey val="0"/>
          <c:showVal val="0"/>
          <c:showCatName val="0"/>
          <c:showSerName val="0"/>
          <c:showPercent val="0"/>
          <c:showBubbleSize val="0"/>
          <c:showLeaderLines val="1"/>
        </c:dLbls>
        <c:firstSliceAng val="0"/>
      </c:pieChart>
      <c:spPr>
        <a:noFill/>
        <a:ln w="25398">
          <a:noFill/>
        </a:ln>
      </c:spPr>
    </c:plotArea>
    <c:legend>
      <c:legendPos val="r"/>
      <c:overlay val="0"/>
    </c:legend>
    <c:plotVisOnly val="1"/>
    <c:dispBlanksAs val="zero"/>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Tax Base 2000</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Data!$A$108:$A$111</c:f>
              <c:strCache>
                <c:ptCount val="4"/>
                <c:pt idx="0">
                  <c:v>Residential</c:v>
                </c:pt>
                <c:pt idx="1">
                  <c:v>Comercial</c:v>
                </c:pt>
                <c:pt idx="2">
                  <c:v>Manufacturing</c:v>
                </c:pt>
                <c:pt idx="3">
                  <c:v>Agricutlure</c:v>
                </c:pt>
              </c:strCache>
            </c:strRef>
          </c:cat>
          <c:val>
            <c:numRef>
              <c:f>Data!$B$108:$B$111</c:f>
              <c:numCache>
                <c:formatCode>0</c:formatCode>
                <c:ptCount val="4"/>
                <c:pt idx="0">
                  <c:v>89679600</c:v>
                </c:pt>
                <c:pt idx="1">
                  <c:v>12525900</c:v>
                </c:pt>
                <c:pt idx="2">
                  <c:v>1656000</c:v>
                </c:pt>
                <c:pt idx="3">
                  <c:v>156800</c:v>
                </c:pt>
              </c:numCache>
            </c:numRef>
          </c:val>
        </c:ser>
        <c:dLbls>
          <c:showLegendKey val="0"/>
          <c:showVal val="0"/>
          <c:showCatName val="0"/>
          <c:showSerName val="0"/>
          <c:showPercent val="0"/>
          <c:showBubbleSize val="0"/>
          <c:showLeaderLines val="1"/>
        </c:dLbls>
        <c:firstSliceAng val="0"/>
      </c:pieChart>
      <c:spPr>
        <a:noFill/>
        <a:ln w="25398">
          <a:noFill/>
        </a:ln>
      </c:spPr>
    </c:plotArea>
    <c:legend>
      <c:legendPos val="r"/>
      <c:overlay val="0"/>
    </c:legend>
    <c:plotVisOnly val="1"/>
    <c:dispBlanksAs val="zero"/>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2011 Expenses</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Data!$A$96:$A$101</c:f>
              <c:strCache>
                <c:ptCount val="6"/>
                <c:pt idx="0">
                  <c:v>All Other Expenses</c:v>
                </c:pt>
                <c:pt idx="1">
                  <c:v>General Government</c:v>
                </c:pt>
                <c:pt idx="2">
                  <c:v>Public Safety</c:v>
                </c:pt>
                <c:pt idx="3">
                  <c:v>Public Works</c:v>
                </c:pt>
                <c:pt idx="4">
                  <c:v>Culture, Recreation and Education</c:v>
                </c:pt>
                <c:pt idx="5">
                  <c:v>Interest and Debt Issue</c:v>
                </c:pt>
              </c:strCache>
            </c:strRef>
          </c:cat>
          <c:val>
            <c:numRef>
              <c:f>Data!$C$96:$C$101</c:f>
              <c:numCache>
                <c:formatCode>General</c:formatCode>
                <c:ptCount val="6"/>
                <c:pt idx="0">
                  <c:v>1.0373119988110505E-2</c:v>
                </c:pt>
                <c:pt idx="1">
                  <c:v>0.12015878977944638</c:v>
                </c:pt>
                <c:pt idx="2">
                  <c:v>6.5681913047617793E-2</c:v>
                </c:pt>
                <c:pt idx="3">
                  <c:v>0.50881929999436859</c:v>
                </c:pt>
                <c:pt idx="4">
                  <c:v>0.10799237632573969</c:v>
                </c:pt>
                <c:pt idx="5">
                  <c:v>0.18697450086471692</c:v>
                </c:pt>
              </c:numCache>
            </c:numRef>
          </c:val>
        </c:ser>
        <c:dLbls>
          <c:showLegendKey val="0"/>
          <c:showVal val="0"/>
          <c:showCatName val="0"/>
          <c:showSerName val="0"/>
          <c:showPercent val="0"/>
          <c:showBubbleSize val="0"/>
          <c:showLeaderLines val="1"/>
        </c:dLbls>
        <c:firstSliceAng val="0"/>
      </c:pieChart>
      <c:spPr>
        <a:noFill/>
        <a:ln w="25398">
          <a:noFill/>
        </a:ln>
      </c:spPr>
    </c:plotArea>
    <c:legend>
      <c:legendPos val="t"/>
      <c:overlay val="0"/>
    </c:legend>
    <c:plotVisOnly val="1"/>
    <c:dispBlanksAs val="zero"/>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Trends in Expenses</a:t>
            </a:r>
          </a:p>
        </c:rich>
      </c:tx>
      <c:overlay val="0"/>
    </c:title>
    <c:autoTitleDeleted val="0"/>
    <c:plotArea>
      <c:layout/>
      <c:lineChart>
        <c:grouping val="standard"/>
        <c:varyColors val="0"/>
        <c:ser>
          <c:idx val="0"/>
          <c:order val="0"/>
          <c:tx>
            <c:strRef>
              <c:f>Data!$A$28</c:f>
              <c:strCache>
                <c:ptCount val="1"/>
                <c:pt idx="0">
                  <c:v>GENERAL GOVERNMENT</c:v>
                </c:pt>
              </c:strCache>
            </c:strRef>
          </c:tx>
          <c:marker>
            <c:symbol val="none"/>
          </c:marker>
          <c:cat>
            <c:numRef>
              <c:f>Data!$B$4:$X$4</c:f>
              <c:numCache>
                <c:formatCode>General</c:formatCode>
                <c:ptCount val="23"/>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numCache>
            </c:numRef>
          </c:cat>
          <c:val>
            <c:numRef>
              <c:f>Data!$B$28:$X$28</c:f>
              <c:numCache>
                <c:formatCode>General</c:formatCode>
                <c:ptCount val="23"/>
                <c:pt idx="0">
                  <c:v>44858</c:v>
                </c:pt>
                <c:pt idx="1">
                  <c:v>41454</c:v>
                </c:pt>
                <c:pt idx="2">
                  <c:v>58633</c:v>
                </c:pt>
                <c:pt idx="3">
                  <c:v>88800</c:v>
                </c:pt>
                <c:pt idx="4">
                  <c:v>78800</c:v>
                </c:pt>
                <c:pt idx="5">
                  <c:v>103800</c:v>
                </c:pt>
                <c:pt idx="6">
                  <c:v>116500</c:v>
                </c:pt>
                <c:pt idx="7">
                  <c:v>75200</c:v>
                </c:pt>
                <c:pt idx="8">
                  <c:v>76000</c:v>
                </c:pt>
                <c:pt idx="9">
                  <c:v>104300</c:v>
                </c:pt>
                <c:pt idx="10">
                  <c:v>140200</c:v>
                </c:pt>
                <c:pt idx="11">
                  <c:v>114200</c:v>
                </c:pt>
                <c:pt idx="12">
                  <c:v>99488</c:v>
                </c:pt>
                <c:pt idx="13">
                  <c:v>121459</c:v>
                </c:pt>
                <c:pt idx="14">
                  <c:v>135473</c:v>
                </c:pt>
                <c:pt idx="15">
                  <c:v>152518</c:v>
                </c:pt>
                <c:pt idx="16">
                  <c:v>174442</c:v>
                </c:pt>
                <c:pt idx="17">
                  <c:v>208261</c:v>
                </c:pt>
                <c:pt idx="18">
                  <c:v>229051</c:v>
                </c:pt>
                <c:pt idx="19">
                  <c:v>291862</c:v>
                </c:pt>
                <c:pt idx="20">
                  <c:v>257906</c:v>
                </c:pt>
                <c:pt idx="21">
                  <c:v>255069</c:v>
                </c:pt>
                <c:pt idx="22">
                  <c:v>592158</c:v>
                </c:pt>
              </c:numCache>
            </c:numRef>
          </c:val>
          <c:smooth val="0"/>
        </c:ser>
        <c:ser>
          <c:idx val="1"/>
          <c:order val="1"/>
          <c:tx>
            <c:strRef>
              <c:f>Data!$A$33</c:f>
              <c:strCache>
                <c:ptCount val="1"/>
                <c:pt idx="0">
                  <c:v>HIGHWAY MAINTENANCE AND ADM.</c:v>
                </c:pt>
              </c:strCache>
            </c:strRef>
          </c:tx>
          <c:marker>
            <c:symbol val="none"/>
          </c:marker>
          <c:cat>
            <c:numRef>
              <c:f>Data!$B$4:$X$4</c:f>
              <c:numCache>
                <c:formatCode>General</c:formatCode>
                <c:ptCount val="23"/>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numCache>
            </c:numRef>
          </c:cat>
          <c:val>
            <c:numRef>
              <c:f>Data!$B$33:$X$33</c:f>
              <c:numCache>
                <c:formatCode>General</c:formatCode>
                <c:ptCount val="23"/>
                <c:pt idx="0">
                  <c:v>169114</c:v>
                </c:pt>
                <c:pt idx="1">
                  <c:v>148118</c:v>
                </c:pt>
                <c:pt idx="2">
                  <c:v>120864</c:v>
                </c:pt>
                <c:pt idx="3">
                  <c:v>163500</c:v>
                </c:pt>
                <c:pt idx="4">
                  <c:v>113100</c:v>
                </c:pt>
                <c:pt idx="5">
                  <c:v>167300</c:v>
                </c:pt>
                <c:pt idx="6">
                  <c:v>146700</c:v>
                </c:pt>
                <c:pt idx="7">
                  <c:v>155900</c:v>
                </c:pt>
                <c:pt idx="8">
                  <c:v>187300</c:v>
                </c:pt>
                <c:pt idx="9">
                  <c:v>150800</c:v>
                </c:pt>
                <c:pt idx="10">
                  <c:v>168200</c:v>
                </c:pt>
                <c:pt idx="11">
                  <c:v>185200</c:v>
                </c:pt>
                <c:pt idx="12">
                  <c:v>204241</c:v>
                </c:pt>
                <c:pt idx="13">
                  <c:v>294564</c:v>
                </c:pt>
                <c:pt idx="14">
                  <c:v>230935</c:v>
                </c:pt>
                <c:pt idx="15">
                  <c:v>220210</c:v>
                </c:pt>
                <c:pt idx="16">
                  <c:v>318035</c:v>
                </c:pt>
                <c:pt idx="17">
                  <c:v>265725</c:v>
                </c:pt>
                <c:pt idx="18">
                  <c:v>337913</c:v>
                </c:pt>
                <c:pt idx="19">
                  <c:v>560049</c:v>
                </c:pt>
                <c:pt idx="20">
                  <c:v>861932</c:v>
                </c:pt>
                <c:pt idx="21">
                  <c:v>586706</c:v>
                </c:pt>
                <c:pt idx="22">
                  <c:v>346391</c:v>
                </c:pt>
              </c:numCache>
            </c:numRef>
          </c:val>
          <c:smooth val="0"/>
        </c:ser>
        <c:ser>
          <c:idx val="2"/>
          <c:order val="2"/>
          <c:tx>
            <c:strRef>
              <c:f>Data!$A$34</c:f>
              <c:strCache>
                <c:ptCount val="1"/>
                <c:pt idx="0">
                  <c:v>HIGHWAY CONSTRUCTION</c:v>
                </c:pt>
              </c:strCache>
            </c:strRef>
          </c:tx>
          <c:marker>
            <c:symbol val="none"/>
          </c:marker>
          <c:cat>
            <c:numRef>
              <c:f>Data!$B$4:$X$4</c:f>
              <c:numCache>
                <c:formatCode>General</c:formatCode>
                <c:ptCount val="23"/>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numCache>
            </c:numRef>
          </c:cat>
          <c:val>
            <c:numRef>
              <c:f>Data!$B$34:$X$34</c:f>
              <c:numCache>
                <c:formatCode>General</c:formatCode>
                <c:ptCount val="23"/>
                <c:pt idx="0">
                  <c:v>0</c:v>
                </c:pt>
                <c:pt idx="1">
                  <c:v>3845</c:v>
                </c:pt>
                <c:pt idx="2">
                  <c:v>0</c:v>
                </c:pt>
                <c:pt idx="3">
                  <c:v>128600</c:v>
                </c:pt>
                <c:pt idx="4">
                  <c:v>92400</c:v>
                </c:pt>
                <c:pt idx="5">
                  <c:v>82200</c:v>
                </c:pt>
                <c:pt idx="6">
                  <c:v>257100.00000000003</c:v>
                </c:pt>
                <c:pt idx="7">
                  <c:v>156000</c:v>
                </c:pt>
                <c:pt idx="8">
                  <c:v>206300</c:v>
                </c:pt>
                <c:pt idx="9">
                  <c:v>72600</c:v>
                </c:pt>
                <c:pt idx="10">
                  <c:v>181500</c:v>
                </c:pt>
                <c:pt idx="11">
                  <c:v>47500</c:v>
                </c:pt>
                <c:pt idx="12">
                  <c:v>134026</c:v>
                </c:pt>
                <c:pt idx="13">
                  <c:v>398928</c:v>
                </c:pt>
                <c:pt idx="14">
                  <c:v>538713</c:v>
                </c:pt>
                <c:pt idx="15">
                  <c:v>601120</c:v>
                </c:pt>
                <c:pt idx="16">
                  <c:v>315997</c:v>
                </c:pt>
                <c:pt idx="17">
                  <c:v>186995</c:v>
                </c:pt>
                <c:pt idx="18">
                  <c:v>367533</c:v>
                </c:pt>
                <c:pt idx="19">
                  <c:v>908574</c:v>
                </c:pt>
                <c:pt idx="20">
                  <c:v>0</c:v>
                </c:pt>
                <c:pt idx="21">
                  <c:v>29134</c:v>
                </c:pt>
                <c:pt idx="22">
                  <c:v>926650</c:v>
                </c:pt>
              </c:numCache>
            </c:numRef>
          </c:val>
          <c:smooth val="0"/>
        </c:ser>
        <c:ser>
          <c:idx val="3"/>
          <c:order val="3"/>
          <c:tx>
            <c:strRef>
              <c:f>Data!$A$42</c:f>
              <c:strCache>
                <c:ptCount val="1"/>
                <c:pt idx="0">
                  <c:v>CONSERVATION AND DEVELOPMENT</c:v>
                </c:pt>
              </c:strCache>
            </c:strRef>
          </c:tx>
          <c:marker>
            <c:symbol val="none"/>
          </c:marker>
          <c:cat>
            <c:numRef>
              <c:f>Data!$B$4:$X$4</c:f>
              <c:numCache>
                <c:formatCode>General</c:formatCode>
                <c:ptCount val="23"/>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numCache>
            </c:numRef>
          </c:cat>
          <c:val>
            <c:numRef>
              <c:f>Data!$B$42:$X$42</c:f>
              <c:numCache>
                <c:formatCode>General</c:formatCode>
                <c:ptCount val="23"/>
                <c:pt idx="0">
                  <c:v>3576</c:v>
                </c:pt>
                <c:pt idx="1">
                  <c:v>15103</c:v>
                </c:pt>
                <c:pt idx="2">
                  <c:v>7401</c:v>
                </c:pt>
                <c:pt idx="3">
                  <c:v>0</c:v>
                </c:pt>
                <c:pt idx="4">
                  <c:v>0</c:v>
                </c:pt>
                <c:pt idx="5">
                  <c:v>0</c:v>
                </c:pt>
                <c:pt idx="6">
                  <c:v>0</c:v>
                </c:pt>
                <c:pt idx="7">
                  <c:v>0</c:v>
                </c:pt>
                <c:pt idx="8">
                  <c:v>29600</c:v>
                </c:pt>
                <c:pt idx="9">
                  <c:v>5400</c:v>
                </c:pt>
                <c:pt idx="10">
                  <c:v>8800</c:v>
                </c:pt>
                <c:pt idx="11">
                  <c:v>210700</c:v>
                </c:pt>
                <c:pt idx="12">
                  <c:v>206225</c:v>
                </c:pt>
                <c:pt idx="13">
                  <c:v>714034</c:v>
                </c:pt>
                <c:pt idx="14">
                  <c:v>510105</c:v>
                </c:pt>
                <c:pt idx="15">
                  <c:v>149511</c:v>
                </c:pt>
                <c:pt idx="16">
                  <c:v>273447</c:v>
                </c:pt>
                <c:pt idx="17">
                  <c:v>556655</c:v>
                </c:pt>
                <c:pt idx="18">
                  <c:v>622463</c:v>
                </c:pt>
                <c:pt idx="19">
                  <c:v>403072</c:v>
                </c:pt>
                <c:pt idx="20">
                  <c:v>6012</c:v>
                </c:pt>
                <c:pt idx="21">
                  <c:v>156355</c:v>
                </c:pt>
                <c:pt idx="22">
                  <c:v>344023</c:v>
                </c:pt>
              </c:numCache>
            </c:numRef>
          </c:val>
          <c:smooth val="0"/>
        </c:ser>
        <c:dLbls>
          <c:showLegendKey val="0"/>
          <c:showVal val="0"/>
          <c:showCatName val="0"/>
          <c:showSerName val="0"/>
          <c:showPercent val="0"/>
          <c:showBubbleSize val="0"/>
        </c:dLbls>
        <c:smooth val="0"/>
        <c:axId val="409130472"/>
        <c:axId val="408355768"/>
      </c:lineChart>
      <c:catAx>
        <c:axId val="409130472"/>
        <c:scaling>
          <c:orientation val="minMax"/>
        </c:scaling>
        <c:delete val="0"/>
        <c:axPos val="b"/>
        <c:numFmt formatCode="General" sourceLinked="1"/>
        <c:majorTickMark val="none"/>
        <c:minorTickMark val="none"/>
        <c:tickLblPos val="nextTo"/>
        <c:crossAx val="408355768"/>
        <c:crosses val="autoZero"/>
        <c:auto val="1"/>
        <c:lblAlgn val="ctr"/>
        <c:lblOffset val="100"/>
        <c:noMultiLvlLbl val="0"/>
      </c:catAx>
      <c:valAx>
        <c:axId val="408355768"/>
        <c:scaling>
          <c:orientation val="minMax"/>
        </c:scaling>
        <c:delete val="0"/>
        <c:axPos val="l"/>
        <c:majorGridlines/>
        <c:numFmt formatCode="General" sourceLinked="1"/>
        <c:majorTickMark val="none"/>
        <c:minorTickMark val="none"/>
        <c:tickLblPos val="nextTo"/>
        <c:crossAx val="409130472"/>
        <c:crosses val="autoZero"/>
        <c:crossBetween val="between"/>
      </c:valAx>
    </c:plotArea>
    <c:legend>
      <c:legendPos val="b"/>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Trends in Income</a:t>
            </a:r>
          </a:p>
        </c:rich>
      </c:tx>
      <c:overlay val="0"/>
    </c:title>
    <c:autoTitleDeleted val="0"/>
    <c:plotArea>
      <c:layout/>
      <c:lineChart>
        <c:grouping val="standard"/>
        <c:varyColors val="0"/>
        <c:ser>
          <c:idx val="0"/>
          <c:order val="0"/>
          <c:tx>
            <c:strRef>
              <c:f>Data!$A$6</c:f>
              <c:strCache>
                <c:ptCount val="1"/>
                <c:pt idx="0">
                  <c:v>GENERAL PROPERTY TAXES</c:v>
                </c:pt>
              </c:strCache>
            </c:strRef>
          </c:tx>
          <c:marker>
            <c:symbol val="none"/>
          </c:marker>
          <c:cat>
            <c:numRef>
              <c:f>Data!$B$4:$X$4</c:f>
              <c:numCache>
                <c:formatCode>General</c:formatCode>
                <c:ptCount val="23"/>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numCache>
            </c:numRef>
          </c:cat>
          <c:val>
            <c:numRef>
              <c:f>Data!$B$6:$Y$6</c:f>
              <c:numCache>
                <c:formatCode>General</c:formatCode>
                <c:ptCount val="24"/>
                <c:pt idx="0">
                  <c:v>132715</c:v>
                </c:pt>
                <c:pt idx="1">
                  <c:v>140819</c:v>
                </c:pt>
                <c:pt idx="2">
                  <c:v>140168</c:v>
                </c:pt>
                <c:pt idx="3">
                  <c:v>152700</c:v>
                </c:pt>
                <c:pt idx="4">
                  <c:v>167100</c:v>
                </c:pt>
                <c:pt idx="5">
                  <c:v>175800</c:v>
                </c:pt>
                <c:pt idx="6">
                  <c:v>217600</c:v>
                </c:pt>
                <c:pt idx="7">
                  <c:v>253900</c:v>
                </c:pt>
                <c:pt idx="8">
                  <c:v>284400</c:v>
                </c:pt>
                <c:pt idx="9">
                  <c:v>362600</c:v>
                </c:pt>
                <c:pt idx="10">
                  <c:v>460700</c:v>
                </c:pt>
                <c:pt idx="11">
                  <c:v>528100</c:v>
                </c:pt>
                <c:pt idx="12">
                  <c:v>585459</c:v>
                </c:pt>
                <c:pt idx="13">
                  <c:v>659377</c:v>
                </c:pt>
                <c:pt idx="14">
                  <c:v>767764</c:v>
                </c:pt>
                <c:pt idx="15">
                  <c:v>808757</c:v>
                </c:pt>
                <c:pt idx="16">
                  <c:v>829807</c:v>
                </c:pt>
                <c:pt idx="17">
                  <c:v>838000</c:v>
                </c:pt>
                <c:pt idx="18">
                  <c:v>885713</c:v>
                </c:pt>
                <c:pt idx="19">
                  <c:v>909831</c:v>
                </c:pt>
                <c:pt idx="20">
                  <c:v>947000</c:v>
                </c:pt>
                <c:pt idx="21">
                  <c:v>857623</c:v>
                </c:pt>
                <c:pt idx="22">
                  <c:v>911653</c:v>
                </c:pt>
                <c:pt idx="23">
                  <c:v>940000</c:v>
                </c:pt>
              </c:numCache>
            </c:numRef>
          </c:val>
          <c:smooth val="0"/>
        </c:ser>
        <c:ser>
          <c:idx val="1"/>
          <c:order val="1"/>
          <c:tx>
            <c:strRef>
              <c:f>Data!$A$13</c:f>
              <c:strCache>
                <c:ptCount val="1"/>
                <c:pt idx="0">
                  <c:v>STATE SHARED REVENUES</c:v>
                </c:pt>
              </c:strCache>
            </c:strRef>
          </c:tx>
          <c:marker>
            <c:symbol val="none"/>
          </c:marker>
          <c:cat>
            <c:numRef>
              <c:f>Data!$B$4:$X$4</c:f>
              <c:numCache>
                <c:formatCode>General</c:formatCode>
                <c:ptCount val="23"/>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numCache>
            </c:numRef>
          </c:cat>
          <c:val>
            <c:numRef>
              <c:f>Data!$B$13:$Y$13</c:f>
              <c:numCache>
                <c:formatCode>General</c:formatCode>
                <c:ptCount val="24"/>
                <c:pt idx="0">
                  <c:v>212241</c:v>
                </c:pt>
                <c:pt idx="1">
                  <c:v>228857</c:v>
                </c:pt>
                <c:pt idx="2">
                  <c:v>245940</c:v>
                </c:pt>
                <c:pt idx="3">
                  <c:v>283900</c:v>
                </c:pt>
                <c:pt idx="4">
                  <c:v>290200</c:v>
                </c:pt>
                <c:pt idx="5">
                  <c:v>262600</c:v>
                </c:pt>
                <c:pt idx="6">
                  <c:v>266200</c:v>
                </c:pt>
                <c:pt idx="7">
                  <c:v>264900</c:v>
                </c:pt>
                <c:pt idx="8">
                  <c:v>251600</c:v>
                </c:pt>
                <c:pt idx="9">
                  <c:v>239100</c:v>
                </c:pt>
                <c:pt idx="10">
                  <c:v>227100</c:v>
                </c:pt>
                <c:pt idx="11">
                  <c:v>221200</c:v>
                </c:pt>
                <c:pt idx="12">
                  <c:v>205012</c:v>
                </c:pt>
                <c:pt idx="13">
                  <c:v>214198</c:v>
                </c:pt>
                <c:pt idx="14">
                  <c:v>238365</c:v>
                </c:pt>
                <c:pt idx="15">
                  <c:v>249706</c:v>
                </c:pt>
                <c:pt idx="16">
                  <c:v>251383</c:v>
                </c:pt>
                <c:pt idx="17">
                  <c:v>206308</c:v>
                </c:pt>
                <c:pt idx="18">
                  <c:v>181711</c:v>
                </c:pt>
                <c:pt idx="19">
                  <c:v>203646</c:v>
                </c:pt>
                <c:pt idx="20">
                  <c:v>179469</c:v>
                </c:pt>
                <c:pt idx="21">
                  <c:v>200089</c:v>
                </c:pt>
                <c:pt idx="22">
                  <c:v>181337</c:v>
                </c:pt>
                <c:pt idx="23">
                  <c:v>170033</c:v>
                </c:pt>
              </c:numCache>
            </c:numRef>
          </c:val>
          <c:smooth val="0"/>
        </c:ser>
        <c:ser>
          <c:idx val="2"/>
          <c:order val="2"/>
          <c:tx>
            <c:strRef>
              <c:f>Data!$A$14</c:f>
              <c:strCache>
                <c:ptCount val="1"/>
                <c:pt idx="0">
                  <c:v>STATE HIGHWAY AIDS</c:v>
                </c:pt>
              </c:strCache>
            </c:strRef>
          </c:tx>
          <c:marker>
            <c:symbol val="none"/>
          </c:marker>
          <c:cat>
            <c:numRef>
              <c:f>Data!$B$4:$X$4</c:f>
              <c:numCache>
                <c:formatCode>General</c:formatCode>
                <c:ptCount val="23"/>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numCache>
            </c:numRef>
          </c:cat>
          <c:val>
            <c:numRef>
              <c:f>Data!$B$14:$Y$14</c:f>
              <c:numCache>
                <c:formatCode>General</c:formatCode>
                <c:ptCount val="24"/>
                <c:pt idx="0">
                  <c:v>19833</c:v>
                </c:pt>
                <c:pt idx="1">
                  <c:v>21816</c:v>
                </c:pt>
                <c:pt idx="2">
                  <c:v>23998</c:v>
                </c:pt>
                <c:pt idx="3">
                  <c:v>26400</c:v>
                </c:pt>
                <c:pt idx="4">
                  <c:v>29000</c:v>
                </c:pt>
                <c:pt idx="5">
                  <c:v>31900</c:v>
                </c:pt>
                <c:pt idx="6">
                  <c:v>35100</c:v>
                </c:pt>
                <c:pt idx="7">
                  <c:v>47200</c:v>
                </c:pt>
                <c:pt idx="8">
                  <c:v>46400</c:v>
                </c:pt>
                <c:pt idx="9">
                  <c:v>53400</c:v>
                </c:pt>
                <c:pt idx="10">
                  <c:v>65200</c:v>
                </c:pt>
                <c:pt idx="11">
                  <c:v>75200</c:v>
                </c:pt>
                <c:pt idx="12">
                  <c:v>81270</c:v>
                </c:pt>
                <c:pt idx="13">
                  <c:v>86588</c:v>
                </c:pt>
                <c:pt idx="14">
                  <c:v>92577</c:v>
                </c:pt>
                <c:pt idx="15">
                  <c:v>99577</c:v>
                </c:pt>
                <c:pt idx="16">
                  <c:v>114513</c:v>
                </c:pt>
                <c:pt idx="17">
                  <c:v>131690</c:v>
                </c:pt>
                <c:pt idx="18">
                  <c:v>151444</c:v>
                </c:pt>
                <c:pt idx="19">
                  <c:v>174160</c:v>
                </c:pt>
                <c:pt idx="20">
                  <c:v>372883</c:v>
                </c:pt>
                <c:pt idx="21">
                  <c:v>208967</c:v>
                </c:pt>
                <c:pt idx="22">
                  <c:v>203570</c:v>
                </c:pt>
                <c:pt idx="23">
                  <c:v>206290</c:v>
                </c:pt>
              </c:numCache>
            </c:numRef>
          </c:val>
          <c:smooth val="0"/>
        </c:ser>
        <c:dLbls>
          <c:showLegendKey val="0"/>
          <c:showVal val="0"/>
          <c:showCatName val="0"/>
          <c:showSerName val="0"/>
          <c:showPercent val="0"/>
          <c:showBubbleSize val="0"/>
        </c:dLbls>
        <c:smooth val="0"/>
        <c:axId val="409052896"/>
        <c:axId val="409072448"/>
      </c:lineChart>
      <c:catAx>
        <c:axId val="409052896"/>
        <c:scaling>
          <c:orientation val="minMax"/>
        </c:scaling>
        <c:delete val="0"/>
        <c:axPos val="b"/>
        <c:numFmt formatCode="General" sourceLinked="1"/>
        <c:majorTickMark val="none"/>
        <c:minorTickMark val="none"/>
        <c:tickLblPos val="nextTo"/>
        <c:crossAx val="409072448"/>
        <c:crosses val="autoZero"/>
        <c:auto val="1"/>
        <c:lblAlgn val="ctr"/>
        <c:lblOffset val="100"/>
        <c:noMultiLvlLbl val="0"/>
      </c:catAx>
      <c:valAx>
        <c:axId val="409072448"/>
        <c:scaling>
          <c:orientation val="minMax"/>
        </c:scaling>
        <c:delete val="0"/>
        <c:axPos val="l"/>
        <c:majorGridlines/>
        <c:numFmt formatCode="General" sourceLinked="1"/>
        <c:majorTickMark val="none"/>
        <c:minorTickMark val="none"/>
        <c:tickLblPos val="nextTo"/>
        <c:crossAx val="409052896"/>
        <c:crosses val="autoZero"/>
        <c:crossBetween val="between"/>
      </c:valAx>
    </c:plotArea>
    <c:legend>
      <c:legendPos val="b"/>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ED553-EE7F-49DF-88B6-E2EA964E4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cp:lastModifiedBy>Martinez, Francisco</cp:lastModifiedBy>
  <cp:revision>1</cp:revision>
  <dcterms:created xsi:type="dcterms:W3CDTF">2016-04-08T17:48:00Z</dcterms:created>
  <dcterms:modified xsi:type="dcterms:W3CDTF">2016-04-08T17:48:00Z</dcterms:modified>
</cp:coreProperties>
</file>